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109F" w14:textId="77777777" w:rsidR="00DF516E" w:rsidRPr="00DF516E" w:rsidRDefault="00DF516E" w:rsidP="00DF516E">
      <w:pPr>
        <w:shd w:val="clear" w:color="auto" w:fill="FFFFFF"/>
        <w:spacing w:after="0" w:line="240" w:lineRule="auto"/>
        <w:jc w:val="center"/>
        <w:rPr>
          <w:rFonts w:ascii="Arial" w:eastAsia="Times New Roman" w:hAnsi="Arial" w:cs="Arial"/>
          <w:color w:val="000000" w:themeColor="text1"/>
          <w:sz w:val="20"/>
          <w:szCs w:val="20"/>
          <w:lang w:eastAsia="ru-RU"/>
        </w:rPr>
      </w:pPr>
      <w:r w:rsidRPr="00DF516E">
        <w:rPr>
          <w:rFonts w:ascii="Arial" w:eastAsia="Times New Roman" w:hAnsi="Arial" w:cs="Arial"/>
          <w:b/>
          <w:bCs/>
          <w:color w:val="000000" w:themeColor="text1"/>
          <w:sz w:val="24"/>
          <w:szCs w:val="24"/>
          <w:lang w:eastAsia="ru-RU"/>
        </w:rPr>
        <w:t>Министерство Экономического Развития Российской Федерации</w:t>
      </w:r>
    </w:p>
    <w:p w14:paraId="41E366AC" w14:textId="77777777" w:rsidR="00DF516E" w:rsidRPr="00DF516E" w:rsidRDefault="00DF516E" w:rsidP="00DF516E">
      <w:pPr>
        <w:shd w:val="clear" w:color="auto" w:fill="FFFFFF"/>
        <w:spacing w:after="0" w:line="240" w:lineRule="auto"/>
        <w:jc w:val="center"/>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pict w14:anchorId="3BA0AD81">
          <v:rect id="_x0000_i1025" style="width:0;height:1.5pt" o:hralign="center" o:hrstd="t" o:hr="t" fillcolor="#a0a0a0" stroked="f"/>
        </w:pict>
      </w:r>
    </w:p>
    <w:p w14:paraId="4BE6B631" w14:textId="77777777" w:rsidR="00DF516E" w:rsidRPr="00DF516E" w:rsidRDefault="00DF516E" w:rsidP="00DF516E">
      <w:pPr>
        <w:shd w:val="clear" w:color="auto" w:fill="FFFFFF"/>
        <w:spacing w:after="240" w:line="240" w:lineRule="auto"/>
        <w:jc w:val="center"/>
        <w:rPr>
          <w:rFonts w:ascii="Arial" w:eastAsia="Times New Roman" w:hAnsi="Arial" w:cs="Arial"/>
          <w:color w:val="000000" w:themeColor="text1"/>
          <w:sz w:val="20"/>
          <w:szCs w:val="20"/>
          <w:lang w:eastAsia="ru-RU"/>
        </w:rPr>
      </w:pPr>
      <w:r w:rsidRPr="00DF516E">
        <w:rPr>
          <w:rFonts w:ascii="Arial" w:eastAsia="Times New Roman" w:hAnsi="Arial" w:cs="Arial"/>
          <w:b/>
          <w:bCs/>
          <w:color w:val="000000" w:themeColor="text1"/>
          <w:sz w:val="24"/>
          <w:szCs w:val="24"/>
          <w:lang w:eastAsia="ru-RU"/>
        </w:rPr>
        <w:t>П и с ь м о</w:t>
      </w:r>
      <w:r w:rsidRPr="00DF516E">
        <w:rPr>
          <w:rFonts w:ascii="Arial" w:eastAsia="Times New Roman" w:hAnsi="Arial" w:cs="Arial"/>
          <w:b/>
          <w:bCs/>
          <w:color w:val="000000" w:themeColor="text1"/>
          <w:sz w:val="24"/>
          <w:szCs w:val="24"/>
          <w:lang w:eastAsia="ru-RU"/>
        </w:rPr>
        <w:br/>
        <w:t xml:space="preserve">[ Об установлении сервитута на земельный </w:t>
      </w:r>
      <w:proofErr w:type="gramStart"/>
      <w:r w:rsidRPr="00DF516E">
        <w:rPr>
          <w:rFonts w:ascii="Arial" w:eastAsia="Times New Roman" w:hAnsi="Arial" w:cs="Arial"/>
          <w:b/>
          <w:bCs/>
          <w:color w:val="000000" w:themeColor="text1"/>
          <w:sz w:val="24"/>
          <w:szCs w:val="24"/>
          <w:lang w:eastAsia="ru-RU"/>
        </w:rPr>
        <w:t>участок ]</w:t>
      </w:r>
      <w:proofErr w:type="gramEnd"/>
      <w:r w:rsidRPr="00DF516E">
        <w:rPr>
          <w:rFonts w:ascii="Arial" w:eastAsia="Times New Roman" w:hAnsi="Arial" w:cs="Arial"/>
          <w:b/>
          <w:bCs/>
          <w:color w:val="000000" w:themeColor="text1"/>
          <w:sz w:val="24"/>
          <w:szCs w:val="24"/>
          <w:lang w:eastAsia="ru-RU"/>
        </w:rPr>
        <w:t> </w:t>
      </w:r>
    </w:p>
    <w:tbl>
      <w:tblPr>
        <w:tblW w:w="5000" w:type="pct"/>
        <w:jc w:val="center"/>
        <w:tblCellSpacing w:w="0" w:type="dxa"/>
        <w:tblCellMar>
          <w:left w:w="0" w:type="dxa"/>
          <w:right w:w="0" w:type="dxa"/>
        </w:tblCellMar>
        <w:tblLook w:val="04A0" w:firstRow="1" w:lastRow="0" w:firstColumn="1" w:lastColumn="0" w:noHBand="0" w:noVBand="1"/>
      </w:tblPr>
      <w:tblGrid>
        <w:gridCol w:w="4677"/>
        <w:gridCol w:w="4678"/>
      </w:tblGrid>
      <w:tr w:rsidR="00DF516E" w:rsidRPr="00DF516E" w14:paraId="769560A9" w14:textId="77777777" w:rsidTr="00DF516E">
        <w:trPr>
          <w:tblCellSpacing w:w="0" w:type="dxa"/>
          <w:jc w:val="center"/>
        </w:trPr>
        <w:tc>
          <w:tcPr>
            <w:tcW w:w="2500" w:type="pct"/>
            <w:vAlign w:val="center"/>
            <w:hideMark/>
          </w:tcPr>
          <w:p w14:paraId="6CE84A3E" w14:textId="77777777" w:rsidR="00DF516E" w:rsidRPr="00DF516E" w:rsidRDefault="00DF516E" w:rsidP="00DF516E">
            <w:pPr>
              <w:spacing w:after="0" w:line="240" w:lineRule="auto"/>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 Д23-3607</w:t>
            </w:r>
          </w:p>
        </w:tc>
        <w:tc>
          <w:tcPr>
            <w:tcW w:w="2500" w:type="pct"/>
            <w:vAlign w:val="center"/>
            <w:hideMark/>
          </w:tcPr>
          <w:p w14:paraId="26752190" w14:textId="77777777" w:rsidR="00DF516E" w:rsidRPr="00DF516E" w:rsidRDefault="00DF516E" w:rsidP="00DF516E">
            <w:pPr>
              <w:spacing w:after="0" w:line="240" w:lineRule="auto"/>
              <w:jc w:val="right"/>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03.11.2009</w:t>
            </w:r>
          </w:p>
        </w:tc>
      </w:tr>
    </w:tbl>
    <w:p w14:paraId="5BAA1AF2"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Департамент недвижимости Минэкономразвития России (далее - Департамент) рассмотрел обращение по вопросу об установлении сервитута на земельный участок и сообщает.</w:t>
      </w:r>
    </w:p>
    <w:p w14:paraId="27D890F4" w14:textId="4217C223"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Исходя из представленного обращения федеральный орган исполнительной власти предлагает</w:t>
      </w:r>
      <w:bookmarkStart w:id="0" w:name="_GoBack"/>
      <w:bookmarkEnd w:id="0"/>
      <w:r w:rsidRPr="00DF516E">
        <w:rPr>
          <w:rFonts w:ascii="Arial" w:eastAsia="Times New Roman" w:hAnsi="Arial" w:cs="Arial"/>
          <w:color w:val="000000" w:themeColor="text1"/>
          <w:sz w:val="20"/>
          <w:szCs w:val="20"/>
          <w:lang w:eastAsia="ru-RU"/>
        </w:rPr>
        <w:t xml:space="preserve"> установить сервитут на земельный участок, находящийся в собственности Московской области и предоставленный государственному учреждению Московской области в постоянное (бессрочное) пользование.</w:t>
      </w:r>
    </w:p>
    <w:p w14:paraId="3A3DAEB7"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В соответствии с пунктом 1 статьи 274 Гражданского кодекса Российской Федерации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B6486A8"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Согласно пункту 3 указанной статьи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0A8ED59E"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Таким образом, сервитут может быть установлен в интересах и по требованию как собственника недвижимого имущества (земельного участка, другой недвижимости), так и лица, которому участок предоставлен на праве пожизненного наследуемого владения или праве постоянного (бессрочного) пользования (вне зависимости от того, в чьей собственности находится такой участок), а с учетом аналогии права (статья 6 Гражданского кодекса Российской Федерации) - и владельцем помещений, закрепленных за ним на праве хозяйственного ведения или оперативного управления.</w:t>
      </w:r>
    </w:p>
    <w:p w14:paraId="24A5C82C"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При этом соглашение об обременении земельного участка частным сервитутом может заключать исключительно его собственник, иные правообладатели земельного участка (землепользователи, землевладельцы, арендаторы и т.п.) таким правом не наделены.</w:t>
      </w:r>
    </w:p>
    <w:p w14:paraId="06FCF530"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С учетом изложенного сторонами соглашения об установлении сервитута могут являться федеральный орган исполнительной власти, осуществляющий полномочия собственника в отношении помещений в здании, либо владелец таких помещений, закрепленных за ним на праве хозяйственного ведения или оперативного управления, с одной стороны, и исполнительный орган государственной власти Московской области, осуществляющий полномочия собственника в отношении земельного участка, - с другой.</w:t>
      </w:r>
    </w:p>
    <w:p w14:paraId="3156E491"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 xml:space="preserve">В случае заключения такого соглашения исполнительный орган государственной власти Московской области вправе (но не обязан), если иное не предусмотрено законом, требовать от лица, в пользу которого установлен сервитут, соразмерную плату за пользование участком. Необходимо отметить, что порядок определения такой платы в настоящий момент не установлен. Временные Методические рекомендации по оценке соразмерной платы за сервитут, утвержденные </w:t>
      </w:r>
      <w:proofErr w:type="spellStart"/>
      <w:r w:rsidRPr="00DF516E">
        <w:rPr>
          <w:rFonts w:ascii="Arial" w:eastAsia="Times New Roman" w:hAnsi="Arial" w:cs="Arial"/>
          <w:color w:val="000000" w:themeColor="text1"/>
          <w:sz w:val="20"/>
          <w:szCs w:val="20"/>
          <w:lang w:eastAsia="ru-RU"/>
        </w:rPr>
        <w:t>Росземкадастром</w:t>
      </w:r>
      <w:proofErr w:type="spellEnd"/>
      <w:r w:rsidRPr="00DF516E">
        <w:rPr>
          <w:rFonts w:ascii="Arial" w:eastAsia="Times New Roman" w:hAnsi="Arial" w:cs="Arial"/>
          <w:color w:val="000000" w:themeColor="text1"/>
          <w:sz w:val="20"/>
          <w:szCs w:val="20"/>
          <w:lang w:eastAsia="ru-RU"/>
        </w:rPr>
        <w:t xml:space="preserve"> 17 марта 2004 г., не были зарегистрированы Минюстом России и опубликованы в порядке, установленном Постановлением Правительства Российской Федерации от 13 августа 1997 </w:t>
      </w:r>
      <w:r w:rsidRPr="00DF516E">
        <w:rPr>
          <w:rFonts w:ascii="Arial" w:eastAsia="Times New Roman" w:hAnsi="Arial" w:cs="Arial"/>
          <w:color w:val="000000" w:themeColor="text1"/>
          <w:sz w:val="20"/>
          <w:szCs w:val="20"/>
          <w:lang w:eastAsia="ru-RU"/>
        </w:rPr>
        <w:lastRenderedPageBreak/>
        <w:t>г. N 1009 "Об утверждении Правил подготовки нормативных правовых актов федеральных органов исполнительной власти и их государственной регистрации", и в связи с этим не подлежат обязательному применению.</w:t>
      </w:r>
    </w:p>
    <w:p w14:paraId="6D8B5601" w14:textId="4B7F9645"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По мнению Департамента, соразмерность платы за пользование земельным участком (в случае ее установления) представляет собой ее соответствие тем неудобствам и ограничениям, которые испытывает собственник земельного участка в связи с использованием его участка обладателем сервитута. При этом размер такой платы может быть определен на основании материалов оценки в соответствии с правилами Федерального закона от 29 июля 1988 г. N 135-ФЗ "Об оценочной деятельности в Российской Федерации"</w:t>
      </w:r>
    </w:p>
    <w:p w14:paraId="156F6192"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Поскольку частный сервитут устанавливается соглашением, то порядок и условия установления и осуществления такого сервитута должны быть определены таким соглашением. При этом, по мнению Департамента, соглашение об установлении частного сервитута должно содержать: </w:t>
      </w:r>
      <w:r w:rsidRPr="00DF516E">
        <w:rPr>
          <w:rFonts w:ascii="Arial" w:eastAsia="Times New Roman" w:hAnsi="Arial" w:cs="Arial"/>
          <w:color w:val="000000" w:themeColor="text1"/>
          <w:sz w:val="20"/>
          <w:szCs w:val="20"/>
          <w:lang w:eastAsia="ru-RU"/>
        </w:rPr>
        <w:br/>
        <w:t>- сведения о сторонах соглашения; </w:t>
      </w:r>
      <w:r w:rsidRPr="00DF516E">
        <w:rPr>
          <w:rFonts w:ascii="Arial" w:eastAsia="Times New Roman" w:hAnsi="Arial" w:cs="Arial"/>
          <w:color w:val="000000" w:themeColor="text1"/>
          <w:sz w:val="20"/>
          <w:szCs w:val="20"/>
          <w:lang w:eastAsia="ru-RU"/>
        </w:rPr>
        <w:br/>
        <w:t>- сведения об обременяемом земельном участке (местоположение, площадь, кадастровый номер); </w:t>
      </w:r>
      <w:r w:rsidRPr="00DF516E">
        <w:rPr>
          <w:rFonts w:ascii="Arial" w:eastAsia="Times New Roman" w:hAnsi="Arial" w:cs="Arial"/>
          <w:color w:val="000000" w:themeColor="text1"/>
          <w:sz w:val="20"/>
          <w:szCs w:val="20"/>
          <w:lang w:eastAsia="ru-RU"/>
        </w:rPr>
        <w:br/>
        <w:t>- цели и задачи установления сервитута; </w:t>
      </w:r>
      <w:r w:rsidRPr="00DF516E">
        <w:rPr>
          <w:rFonts w:ascii="Arial" w:eastAsia="Times New Roman" w:hAnsi="Arial" w:cs="Arial"/>
          <w:color w:val="000000" w:themeColor="text1"/>
          <w:sz w:val="20"/>
          <w:szCs w:val="20"/>
          <w:lang w:eastAsia="ru-RU"/>
        </w:rPr>
        <w:br/>
        <w:t>- пределы действия (местоположение) сервитута на земельном участке; </w:t>
      </w:r>
      <w:r w:rsidRPr="00DF516E">
        <w:rPr>
          <w:rFonts w:ascii="Arial" w:eastAsia="Times New Roman" w:hAnsi="Arial" w:cs="Arial"/>
          <w:color w:val="000000" w:themeColor="text1"/>
          <w:sz w:val="20"/>
          <w:szCs w:val="20"/>
          <w:lang w:eastAsia="ru-RU"/>
        </w:rPr>
        <w:br/>
        <w:t>- размер платы за сервитут и порядок ее внесения (при ее наличии); </w:t>
      </w:r>
      <w:r w:rsidRPr="00DF516E">
        <w:rPr>
          <w:rFonts w:ascii="Arial" w:eastAsia="Times New Roman" w:hAnsi="Arial" w:cs="Arial"/>
          <w:color w:val="000000" w:themeColor="text1"/>
          <w:sz w:val="20"/>
          <w:szCs w:val="20"/>
          <w:lang w:eastAsia="ru-RU"/>
        </w:rPr>
        <w:br/>
        <w:t>- иные права и обязанности сторон.</w:t>
      </w:r>
    </w:p>
    <w:p w14:paraId="6CFEE598"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Следует отметить, что перечень документов, необходимых для принятия решения об установлении частного сервитута, законодательно не установлен. По мнению Департамента, минимально необходимыми документами для заключения соглашения об установлении частного сервитута являются документы, подтверждающие право собственности лица, требующего установления сервитута, на объект недвижимости, и в случае если сервитут относится к части земельного участка - документ, определяющий пределы действия (местоположение) сервитута на земельном участке (кадастровый паспорт, на котором отмечена сфера действия сервитута, или кадастровая выписка, содержащая внесенные в государственный кадастр недвижимости сведения о части такого объекта недвижимости).</w:t>
      </w:r>
    </w:p>
    <w:p w14:paraId="09BAE3F8" w14:textId="77777777" w:rsidR="00DF516E" w:rsidRPr="00DF516E" w:rsidRDefault="00DF516E" w:rsidP="00DF516E">
      <w:pPr>
        <w:shd w:val="clear" w:color="auto" w:fill="FFFFFF"/>
        <w:spacing w:before="150" w:after="100" w:afterAutospacing="1" w:line="280" w:lineRule="atLeast"/>
        <w:jc w:val="both"/>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По вопросу установления публичного сервитута необходимо отметить, что в соответствии со статьей 23 Земельного кодекса Российской Федерации допускается установление публичного сервитута для обеспечения прохода или проезда через земельный участок. При этом публичный сервитут должен устанавливаться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Вместе с тем ни Земельным кодексом Российской Федерации, ни иными федеральными нормативными правовыми актами порядок принятия такого решения, а также органы государственной власти, в компетенции которых находится принятие соответствующего нормативного правового акта, не определены.</w:t>
      </w:r>
    </w:p>
    <w:p w14:paraId="61C85C5C" w14:textId="77777777" w:rsidR="00DF516E" w:rsidRPr="00DF516E" w:rsidRDefault="00DF516E" w:rsidP="00DF516E">
      <w:pPr>
        <w:shd w:val="clear" w:color="auto" w:fill="FFFFFF"/>
        <w:spacing w:before="150" w:after="100" w:afterAutospacing="1" w:line="280" w:lineRule="atLeast"/>
        <w:jc w:val="right"/>
        <w:rPr>
          <w:rFonts w:ascii="Arial" w:eastAsia="Times New Roman" w:hAnsi="Arial" w:cs="Arial"/>
          <w:color w:val="000000" w:themeColor="text1"/>
          <w:sz w:val="20"/>
          <w:szCs w:val="20"/>
          <w:lang w:eastAsia="ru-RU"/>
        </w:rPr>
      </w:pPr>
      <w:r w:rsidRPr="00DF516E">
        <w:rPr>
          <w:rFonts w:ascii="Arial" w:eastAsia="Times New Roman" w:hAnsi="Arial" w:cs="Arial"/>
          <w:color w:val="000000" w:themeColor="text1"/>
          <w:sz w:val="20"/>
          <w:szCs w:val="20"/>
          <w:lang w:eastAsia="ru-RU"/>
        </w:rPr>
        <w:t>Директор Департамента недвижимости</w:t>
      </w:r>
      <w:r w:rsidRPr="00DF516E">
        <w:rPr>
          <w:rFonts w:ascii="Arial" w:eastAsia="Times New Roman" w:hAnsi="Arial" w:cs="Arial"/>
          <w:color w:val="000000" w:themeColor="text1"/>
          <w:sz w:val="20"/>
          <w:szCs w:val="20"/>
          <w:lang w:eastAsia="ru-RU"/>
        </w:rPr>
        <w:br/>
        <w:t>А.И.ИВАКИН</w:t>
      </w:r>
    </w:p>
    <w:p w14:paraId="4F783947" w14:textId="77777777" w:rsidR="00151036" w:rsidRPr="00DF516E" w:rsidRDefault="00151036">
      <w:pPr>
        <w:rPr>
          <w:color w:val="000000" w:themeColor="text1"/>
        </w:rPr>
      </w:pPr>
    </w:p>
    <w:sectPr w:rsidR="00151036" w:rsidRPr="00DF5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A6"/>
    <w:rsid w:val="00151036"/>
    <w:rsid w:val="00391EA6"/>
    <w:rsid w:val="00DF51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22EC-225C-450C-927F-6CDBFFF7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516E"/>
    <w:rPr>
      <w:b/>
      <w:bCs/>
    </w:rPr>
  </w:style>
  <w:style w:type="paragraph" w:styleId="a4">
    <w:name w:val="Normal (Web)"/>
    <w:basedOn w:val="a"/>
    <w:uiPriority w:val="99"/>
    <w:semiHidden/>
    <w:unhideWhenUsed/>
    <w:rsid w:val="00DF5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F5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2019-06-18T17:15:00Z</dcterms:created>
  <dcterms:modified xsi:type="dcterms:W3CDTF">2019-06-18T17:16:00Z</dcterms:modified>
</cp:coreProperties>
</file>